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FACILITA GOBIERNO DE BJ PAGO ANUAL DE RECOLECCIÓN DE RESIDUOS SÓLIDOS</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 a 12 de enero de 2025.- </w:t>
      </w:r>
      <w:r w:rsidDel="00000000" w:rsidR="00000000" w:rsidRPr="00000000">
        <w:rPr>
          <w:rFonts w:ascii="Arial" w:cs="Arial" w:eastAsia="Arial" w:hAnsi="Arial"/>
          <w:rtl w:val="0"/>
        </w:rPr>
        <w:t xml:space="preserve">Para facilitar a los empresarios y dueños de establecimientos comerciales, el Ayuntamiento de Benito Juárez inició con la campaña para recibir el pago anual de servicio de recolección de residuos sólidos urbanos 2025, que ofrece un 10 por ciento de descuento en esa modalidad hasta el 28 de febrero. </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Para facilidad de los contribuyentes, se invita a hacer el procedimiento totalmente en línea a través de la página oficial del gobierno municipal que es: www.cancun.gob.mx, en donde se van indicando los pasos que deben seguir para completarlo, desde que inician sesión creando un usuario y una contraseña para mantener su cuenta activa.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Cabe recordar que este es un requisito para el refrendo anual de licencia de funcionamiento 2025, que también por primera vez es totalmente en línea para ahorrar tiempos y costos de traslados a las oficinas municipales. </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En caso de mayor información, se puede solicitar asesoría en las oficinas de Siresol Cancún, ubicadas en Avenida Uxmal, SM. 2A, Mz. 1, Lt. 9, C. P. 77500, de lunes a viernes de 9:00 a 16:00 horas. </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2.png"/>
          <a:graphic>
            <a:graphicData uri="http://schemas.openxmlformats.org/drawingml/2006/picture">
              <pic:pic>
                <pic:nvPicPr>
                  <pic:cNvPr id="0" name="image2.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3620" cy="10013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382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72678" cy="343038"/>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2.png"/>
          <a:graphic>
            <a:graphicData uri="http://schemas.openxmlformats.org/drawingml/2006/picture">
              <pic:pic>
                <pic:nvPicPr>
                  <pic:cNvPr id="0" name="image2.png"/>
                  <pic:cNvPicPr preferRelativeResize="0"/>
                </pic:nvPicPr>
                <pic:blipFill>
                  <a:blip r:embed="rId3"/>
                  <a:srcRect b="86124" l="60539" r="0" t="3487"/>
                  <a:stretch>
                    <a:fillRect/>
                  </a:stretch>
                </pic:blipFill>
                <pic:spPr>
                  <a:xfrm>
                    <a:off x="0" y="0"/>
                    <a:ext cx="3064510" cy="10439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